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B5" w:rsidRPr="005C5AB5" w:rsidRDefault="005C5AB5" w:rsidP="005C5AB5">
      <w:pPr>
        <w:shd w:val="clear" w:color="auto" w:fill="FFFFFF"/>
        <w:spacing w:before="100" w:beforeAutospacing="1" w:after="75"/>
        <w:rPr>
          <w:rFonts w:eastAsia="Times New Roman" w:cs="Arial"/>
          <w:sz w:val="19"/>
          <w:szCs w:val="19"/>
        </w:rPr>
      </w:pPr>
      <w:bookmarkStart w:id="0" w:name="#DBRAs,HCDA"/>
      <w:bookmarkEnd w:id="0"/>
      <w:r w:rsidRPr="005C5AB5">
        <w:rPr>
          <w:rFonts w:eastAsia="Times New Roman" w:cs="Arial"/>
          <w:b/>
          <w:bCs/>
          <w:color w:val="000000"/>
          <w:sz w:val="23"/>
          <w:szCs w:val="23"/>
        </w:rPr>
        <w:t>Copeland "Anti-kickback" Act</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b/>
          <w:bCs/>
          <w:sz w:val="19"/>
          <w:szCs w:val="19"/>
        </w:rPr>
        <w:t>TITLE 18, U.S.C.</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b/>
          <w:bCs/>
          <w:sz w:val="19"/>
          <w:szCs w:val="19"/>
        </w:rPr>
        <w:t>Sec. 874. Kickbacks from public works employees</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sz w:val="19"/>
          <w:szCs w:val="19"/>
        </w:rPr>
        <w:t>Whoever, by force, intimidation, or threat of procuring dismissal from employment, or by any other manner whatsoever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shall be fined under this title or imprisoned not more than five years, or both.</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sz w:val="19"/>
          <w:szCs w:val="19"/>
        </w:rPr>
        <w:t xml:space="preserve">[18 U.S.C. 874 (June 25, 1948, </w:t>
      </w:r>
      <w:proofErr w:type="spellStart"/>
      <w:r w:rsidRPr="005C5AB5">
        <w:rPr>
          <w:rFonts w:eastAsia="Times New Roman" w:cs="Arial"/>
          <w:sz w:val="19"/>
          <w:szCs w:val="19"/>
        </w:rPr>
        <w:t>ch.</w:t>
      </w:r>
      <w:proofErr w:type="spellEnd"/>
      <w:r w:rsidRPr="005C5AB5">
        <w:rPr>
          <w:rFonts w:eastAsia="Times New Roman" w:cs="Arial"/>
          <w:sz w:val="19"/>
          <w:szCs w:val="19"/>
        </w:rPr>
        <w:t xml:space="preserve"> 645, Sec. 1, 62 Stat. 740 and 862, eff. Sept. 1, 1948) replaced the former sec. 1 of the Copeland Act of June 13, 1934 (48 Stat. 948). Prior to 1948, Section 1 of the Copeland Act was codified as 40 U.S.C. 276b. P.L 103-322, (Sept. 13, 1994, 108 Stat. 2147), substituted “fined under this title” for “fined not more than $5,000”.]</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b/>
          <w:bCs/>
          <w:sz w:val="19"/>
          <w:szCs w:val="19"/>
        </w:rPr>
        <w:t>TITLE 40, U.S.C.</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b/>
          <w:bCs/>
          <w:sz w:val="19"/>
          <w:szCs w:val="19"/>
        </w:rPr>
        <w:t>Sec. 3145. Regulations governing contractors and subcontractors</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sz w:val="19"/>
          <w:szCs w:val="19"/>
        </w:rPr>
        <w:t xml:space="preserve">(a) In General.—The Secretary of Labor shall prescribe reasonable regulations for contractors and subcontractors engaged in constructing, carrying out, completing, or repairing public buildings, public works, or buildings or works that at least partly are financed by a loan or grant from the Federal Government. The regulations shall include a provision that each contractor and subcontractor each week must furnish a statement on the wages paid each employee during the prior week. </w:t>
      </w:r>
    </w:p>
    <w:p w:rsidR="005C5AB5" w:rsidRPr="005C5AB5" w:rsidRDefault="005C5AB5" w:rsidP="005C5AB5">
      <w:pPr>
        <w:shd w:val="clear" w:color="auto" w:fill="FFFFFF"/>
        <w:spacing w:before="100" w:beforeAutospacing="1" w:after="75"/>
        <w:rPr>
          <w:rFonts w:eastAsia="Times New Roman" w:cs="Arial"/>
          <w:sz w:val="19"/>
          <w:szCs w:val="19"/>
        </w:rPr>
      </w:pPr>
      <w:r w:rsidRPr="005C5AB5">
        <w:rPr>
          <w:rFonts w:eastAsia="Times New Roman" w:cs="Arial"/>
          <w:sz w:val="19"/>
          <w:szCs w:val="19"/>
        </w:rPr>
        <w:t xml:space="preserve">(b) Application.—Section 1001 of title 18 applies to the statements. </w:t>
      </w:r>
    </w:p>
    <w:p w:rsidR="005C5AB5" w:rsidRDefault="005C5AB5" w:rsidP="005C5AB5">
      <w:pPr>
        <w:shd w:val="clear" w:color="auto" w:fill="FFFFFF"/>
        <w:spacing w:before="100" w:beforeAutospacing="1" w:after="100" w:afterAutospacing="1"/>
        <w:rPr>
          <w:rFonts w:eastAsia="Times New Roman" w:cs="Arial"/>
          <w:sz w:val="19"/>
          <w:szCs w:val="19"/>
        </w:rPr>
      </w:pPr>
      <w:r w:rsidRPr="005C5AB5">
        <w:rPr>
          <w:rFonts w:eastAsia="Times New Roman" w:cs="Arial"/>
          <w:sz w:val="19"/>
          <w:szCs w:val="19"/>
        </w:rPr>
        <w:t xml:space="preserve">[Section 2 of the original Act of June 13, 1934, as amended prior to 2002, and codified as 40 U.S.C. 276c , was repealed, revised and codified as 40 U.S.C. 3145 by P.L. 107-217 (Aug. 21, 2002, 116 Stat. 1152, 1304,1309, 1313, 1315).] </w:t>
      </w:r>
    </w:p>
    <w:p w:rsidR="005C5AB5" w:rsidRDefault="005C5AB5" w:rsidP="005C5AB5">
      <w:pPr>
        <w:shd w:val="clear" w:color="auto" w:fill="FFFFFF"/>
        <w:spacing w:before="100" w:beforeAutospacing="1" w:after="100" w:afterAutospacing="1"/>
        <w:rPr>
          <w:rFonts w:eastAsia="Times New Roman" w:cs="Arial"/>
          <w:sz w:val="19"/>
          <w:szCs w:val="19"/>
        </w:rPr>
      </w:pPr>
      <w:bookmarkStart w:id="1" w:name="_GoBack"/>
      <w:bookmarkEnd w:id="1"/>
    </w:p>
    <w:sectPr w:rsidR="005C5AB5" w:rsidSect="00F2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B5"/>
    <w:rsid w:val="000D5A14"/>
    <w:rsid w:val="00451A14"/>
    <w:rsid w:val="005642D5"/>
    <w:rsid w:val="005C5AB5"/>
    <w:rsid w:val="007A2C92"/>
    <w:rsid w:val="009A0E8E"/>
    <w:rsid w:val="00A36D96"/>
    <w:rsid w:val="00BD17C3"/>
    <w:rsid w:val="00C73C7B"/>
    <w:rsid w:val="00C85539"/>
    <w:rsid w:val="00F25918"/>
    <w:rsid w:val="00F4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B1E12-199F-4C7B-A5B6-FC1485D6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7153"/>
    <w:pPr>
      <w:framePr w:w="7920" w:h="1980" w:hRule="exact" w:hSpace="180" w:wrap="auto" w:hAnchor="page" w:xAlign="center" w:yAlign="bottom"/>
      <w:ind w:left="2880"/>
    </w:pPr>
    <w:rPr>
      <w:rFonts w:eastAsiaTheme="majorEastAsia"/>
    </w:rPr>
  </w:style>
  <w:style w:type="character" w:styleId="Emphasis">
    <w:name w:val="Emphasis"/>
    <w:basedOn w:val="DefaultParagraphFont"/>
    <w:uiPriority w:val="20"/>
    <w:qFormat/>
    <w:rsid w:val="005C5AB5"/>
    <w:rPr>
      <w:rFonts w:ascii="Lucida Sans" w:hAnsi="Lucida Sans" w:hint="default"/>
      <w:i/>
      <w:iCs/>
    </w:rPr>
  </w:style>
  <w:style w:type="paragraph" w:styleId="NormalWeb">
    <w:name w:val="Normal (Web)"/>
    <w:basedOn w:val="Normal"/>
    <w:uiPriority w:val="99"/>
    <w:semiHidden/>
    <w:unhideWhenUsed/>
    <w:rsid w:val="005C5AB5"/>
    <w:pPr>
      <w:spacing w:before="100" w:beforeAutospacing="1" w:after="100" w:afterAutospacing="1"/>
    </w:pPr>
    <w:rPr>
      <w:rFonts w:ascii="Verdana" w:eastAsia="Times New Roman" w:hAnsi="Verdana" w:cs="Times New Roman"/>
      <w:sz w:val="18"/>
      <w:szCs w:val="18"/>
    </w:rPr>
  </w:style>
  <w:style w:type="character" w:styleId="Strong">
    <w:name w:val="Strong"/>
    <w:basedOn w:val="DefaultParagraphFont"/>
    <w:uiPriority w:val="22"/>
    <w:qFormat/>
    <w:rsid w:val="005C5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200">
      <w:bodyDiv w:val="1"/>
      <w:marLeft w:val="0"/>
      <w:marRight w:val="0"/>
      <w:marTop w:val="0"/>
      <w:marBottom w:val="0"/>
      <w:divBdr>
        <w:top w:val="none" w:sz="0" w:space="0" w:color="auto"/>
        <w:left w:val="none" w:sz="0" w:space="0" w:color="auto"/>
        <w:bottom w:val="none" w:sz="0" w:space="0" w:color="auto"/>
        <w:right w:val="none" w:sz="0" w:space="0" w:color="auto"/>
      </w:divBdr>
      <w:divsChild>
        <w:div w:id="2102023514">
          <w:marLeft w:val="0"/>
          <w:marRight w:val="0"/>
          <w:marTop w:val="0"/>
          <w:marBottom w:val="0"/>
          <w:divBdr>
            <w:top w:val="none" w:sz="0" w:space="0" w:color="auto"/>
            <w:left w:val="none" w:sz="0" w:space="0" w:color="auto"/>
            <w:bottom w:val="none" w:sz="0" w:space="0" w:color="auto"/>
            <w:right w:val="none" w:sz="0" w:space="0" w:color="auto"/>
          </w:divBdr>
          <w:divsChild>
            <w:div w:id="1700085087">
              <w:marLeft w:val="0"/>
              <w:marRight w:val="0"/>
              <w:marTop w:val="0"/>
              <w:marBottom w:val="0"/>
              <w:divBdr>
                <w:top w:val="none" w:sz="0" w:space="0" w:color="auto"/>
                <w:left w:val="none" w:sz="0" w:space="0" w:color="auto"/>
                <w:bottom w:val="none" w:sz="0" w:space="0" w:color="auto"/>
                <w:right w:val="none" w:sz="0" w:space="0" w:color="auto"/>
              </w:divBdr>
              <w:divsChild>
                <w:div w:id="162878016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086763425">
      <w:bodyDiv w:val="1"/>
      <w:marLeft w:val="0"/>
      <w:marRight w:val="0"/>
      <w:marTop w:val="0"/>
      <w:marBottom w:val="0"/>
      <w:divBdr>
        <w:top w:val="none" w:sz="0" w:space="0" w:color="auto"/>
        <w:left w:val="none" w:sz="0" w:space="0" w:color="auto"/>
        <w:bottom w:val="none" w:sz="0" w:space="0" w:color="auto"/>
        <w:right w:val="none" w:sz="0" w:space="0" w:color="auto"/>
      </w:divBdr>
      <w:divsChild>
        <w:div w:id="188955185">
          <w:marLeft w:val="0"/>
          <w:marRight w:val="0"/>
          <w:marTop w:val="0"/>
          <w:marBottom w:val="0"/>
          <w:divBdr>
            <w:top w:val="none" w:sz="0" w:space="0" w:color="auto"/>
            <w:left w:val="none" w:sz="0" w:space="0" w:color="auto"/>
            <w:bottom w:val="none" w:sz="0" w:space="0" w:color="auto"/>
            <w:right w:val="none" w:sz="0" w:space="0" w:color="auto"/>
          </w:divBdr>
          <w:divsChild>
            <w:div w:id="1408652878">
              <w:marLeft w:val="0"/>
              <w:marRight w:val="0"/>
              <w:marTop w:val="0"/>
              <w:marBottom w:val="0"/>
              <w:divBdr>
                <w:top w:val="none" w:sz="0" w:space="0" w:color="auto"/>
                <w:left w:val="none" w:sz="0" w:space="0" w:color="auto"/>
                <w:bottom w:val="none" w:sz="0" w:space="0" w:color="auto"/>
                <w:right w:val="none" w:sz="0" w:space="0" w:color="auto"/>
              </w:divBdr>
              <w:divsChild>
                <w:div w:id="1760180353">
                  <w:marLeft w:val="0"/>
                  <w:marRight w:val="0"/>
                  <w:marTop w:val="0"/>
                  <w:marBottom w:val="0"/>
                  <w:divBdr>
                    <w:top w:val="none" w:sz="0" w:space="0" w:color="auto"/>
                    <w:left w:val="none" w:sz="0" w:space="0" w:color="auto"/>
                    <w:bottom w:val="none" w:sz="0" w:space="0" w:color="auto"/>
                    <w:right w:val="none" w:sz="0" w:space="0" w:color="auto"/>
                  </w:divBdr>
                  <w:divsChild>
                    <w:div w:id="6726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harriss</dc:creator>
  <cp:keywords/>
  <dc:description/>
  <cp:lastModifiedBy>Guariento, MaryAnn</cp:lastModifiedBy>
  <cp:revision>3</cp:revision>
  <dcterms:created xsi:type="dcterms:W3CDTF">2011-12-21T22:14:00Z</dcterms:created>
  <dcterms:modified xsi:type="dcterms:W3CDTF">2015-01-27T23:55:00Z</dcterms:modified>
</cp:coreProperties>
</file>